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257" w:rsidRDefault="00C10257">
      <w:bookmarkStart w:id="0" w:name="_GoBack"/>
      <w:bookmarkEnd w:id="0"/>
    </w:p>
    <w:p w:rsidR="00830A85" w:rsidRDefault="00830A85" w:rsidP="00830A85">
      <w:pPr>
        <w:spacing w:before="100" w:beforeAutospacing="1" w:after="100" w:afterAutospacing="1" w:line="240" w:lineRule="auto"/>
        <w:outlineLvl w:val="0"/>
        <w:rPr>
          <w:rFonts w:ascii="Univers" w:eastAsia="Times New Roman" w:hAnsi="Univers" w:cstheme="minorHAnsi"/>
          <w:b/>
          <w:bCs/>
          <w:kern w:val="36"/>
          <w:sz w:val="24"/>
          <w:szCs w:val="24"/>
          <w:lang w:eastAsia="de-DE"/>
        </w:rPr>
      </w:pPr>
      <w:r>
        <w:rPr>
          <w:rFonts w:ascii="Univers" w:eastAsia="Times New Roman" w:hAnsi="Univers" w:cstheme="minorHAnsi"/>
          <w:b/>
          <w:bCs/>
          <w:kern w:val="36"/>
          <w:sz w:val="24"/>
          <w:szCs w:val="24"/>
          <w:lang w:eastAsia="de-DE"/>
        </w:rPr>
        <w:t>Gesetz zur Verhütung und Bekämpfung von Infektionskrankheiten beim Menschen (Infektionsschutzgesetz - IfSG)</w:t>
      </w:r>
    </w:p>
    <w:p w:rsidR="00830A85" w:rsidRDefault="00830A85" w:rsidP="00830A85">
      <w:pPr>
        <w:spacing w:before="100" w:beforeAutospacing="1" w:after="100" w:afterAutospacing="1" w:line="240" w:lineRule="auto"/>
        <w:outlineLvl w:val="0"/>
        <w:rPr>
          <w:rFonts w:ascii="Univers" w:eastAsia="Times New Roman" w:hAnsi="Univers" w:cstheme="minorHAnsi"/>
          <w:b/>
          <w:bCs/>
          <w:kern w:val="36"/>
          <w:sz w:val="24"/>
          <w:szCs w:val="24"/>
          <w:lang w:eastAsia="de-DE"/>
        </w:rPr>
      </w:pPr>
      <w:r>
        <w:rPr>
          <w:rFonts w:ascii="Univers" w:eastAsia="Times New Roman" w:hAnsi="Univers" w:cstheme="minorHAnsi"/>
          <w:b/>
          <w:bCs/>
          <w:kern w:val="36"/>
          <w:sz w:val="24"/>
          <w:szCs w:val="24"/>
          <w:lang w:eastAsia="de-DE"/>
        </w:rPr>
        <w:t>§ 56 Entschädigung</w:t>
      </w:r>
    </w:p>
    <w:p w:rsidR="00830A85" w:rsidRDefault="00830A85" w:rsidP="00830A85">
      <w:pPr>
        <w:pStyle w:val="Listenabsatz"/>
        <w:numPr>
          <w:ilvl w:val="0"/>
          <w:numId w:val="1"/>
        </w:numPr>
        <w:spacing w:after="0" w:line="240" w:lineRule="auto"/>
        <w:jc w:val="both"/>
        <w:rPr>
          <w:rFonts w:ascii="Univers" w:hAnsi="Univers"/>
          <w:i/>
          <w:iCs/>
        </w:rPr>
      </w:pPr>
      <w:r>
        <w:rPr>
          <w:rFonts w:ascii="Univers" w:hAnsi="Univers"/>
          <w:i/>
          <w:iCs/>
        </w:rPr>
        <w:t xml:space="preserve">Wer auf Grund dieses Gesetzes als Ausscheider, Ansteckungsverdächtiger, Krankheitsverdächtiger oder als sonstiger Träger von Krankheitserregern im Sinne von § 31 Satz 2 Verboten in der Ausübung seiner bisherigen Erwerbstätigkeit unterliegt oder unterworfen wird und dadurch einen Verdienstausfall erleidet, erhält eine Entschädigung in Geld. Das Gleiche gilt </w:t>
      </w:r>
      <w:r>
        <w:rPr>
          <w:rFonts w:ascii="Univers" w:hAnsi="Univers"/>
          <w:i/>
          <w:iCs/>
          <w:color w:val="FF0000"/>
        </w:rPr>
        <w:t>für eine Person, die nach § 30 auch in Verbindung mit § 32 abgesondert wird oder sich aufgrund einer nach § 36 Absatz 8 Satz 1 Nummer 1 erlassenen Rechtsverordnung absondert. Eine Entschädigung in Geld kann auch an eine Person gewährt wenn, wenn diese sich bereits vor der Anordnung einer Absonderung nach § 30 oder eines beruflichen Tätigkeitsverbots nach § 31 vorsorglich abgesondert oder vorsorglich bestimmte berufliche Tätigkeiten ganz oder teilweise nicht ausgeübt hat und dadurch einen Verdienstausfall erleidet, wenn eine Anordnung einer Absonderung nach § 30 oder eines beruflichen Tätigkeitsverbots nach § 31 bereits zum Zeitpunkt der vorsorglichen Absonderung oder der vorsorglichen Nichtausübung beruflicher Tätigkeiten hätte erlassen werden können.</w:t>
      </w:r>
    </w:p>
    <w:p w:rsidR="00830A85" w:rsidRDefault="00830A85" w:rsidP="00830A85">
      <w:pPr>
        <w:pStyle w:val="Listenabsatz"/>
        <w:spacing w:after="0" w:line="240" w:lineRule="auto"/>
        <w:ind w:left="360"/>
        <w:jc w:val="both"/>
        <w:rPr>
          <w:rFonts w:ascii="Univers" w:hAnsi="Univers"/>
          <w:i/>
          <w:iCs/>
        </w:rPr>
      </w:pPr>
    </w:p>
    <w:p w:rsidR="00830A85" w:rsidRDefault="00830A85" w:rsidP="00830A85">
      <w:pPr>
        <w:pStyle w:val="Listenabsatz"/>
        <w:spacing w:after="0" w:line="240" w:lineRule="auto"/>
        <w:ind w:left="360"/>
        <w:jc w:val="both"/>
        <w:rPr>
          <w:rFonts w:ascii="Univers" w:hAnsi="Univers"/>
          <w:i/>
          <w:iCs/>
        </w:rPr>
      </w:pPr>
      <w:r>
        <w:rPr>
          <w:rFonts w:ascii="Univers" w:eastAsia="Times New Roman" w:hAnsi="Univers" w:cs="Times New Roman"/>
          <w:lang w:eastAsia="de-DE"/>
        </w:rPr>
        <w:t>Eine Entschädigung nach den Sätzen 1 und 2 erhält nicht, wer durch Inanspruchnahme einer Schutzimpfung oder anderen Maßnahme der spezifischen Prophylaxe, die gesetzlich vorgeschrieben ist oder im Bereich des gewöhnlichen Aufenthaltsorts des Betroffenen öffentlich empfohlen wurde, oder durch Nichtantritt einer vermeidbaren Reise in ein bereits zum Zeitpunkt der Abreise eingestuftes Risikogebiet ein Verbot in der Ausübung seiner bisherigen Tätigkeit oder eine Absonderung hätte vermeiden können. Eine Reise ist im Sinne des Satzes 3 vermeidbar, wenn zum Zeitpunkt der Abreise keine zwingenden und unaufschiebbaren Gründe für die Reise vorlagen.</w:t>
      </w:r>
    </w:p>
    <w:p w:rsidR="00830A85" w:rsidRDefault="00830A85" w:rsidP="00830A85">
      <w:pPr>
        <w:spacing w:after="0" w:line="240" w:lineRule="auto"/>
        <w:rPr>
          <w:rFonts w:ascii="Times New Roman" w:eastAsia="Times New Roman" w:hAnsi="Times New Roman" w:cs="Times New Roman"/>
          <w:sz w:val="24"/>
          <w:szCs w:val="24"/>
          <w:lang w:eastAsia="de-DE"/>
        </w:rPr>
      </w:pPr>
    </w:p>
    <w:p w:rsidR="00830A85" w:rsidRDefault="00830A85" w:rsidP="00830A85">
      <w:pPr>
        <w:spacing w:after="0" w:line="240" w:lineRule="auto"/>
        <w:rPr>
          <w:rFonts w:ascii="Univers" w:eastAsia="Times New Roman" w:hAnsi="Univers" w:cs="Times New Roman"/>
          <w:lang w:eastAsia="de-DE"/>
        </w:rPr>
      </w:pPr>
      <w:r>
        <w:rPr>
          <w:rFonts w:ascii="Univers" w:eastAsia="Times New Roman" w:hAnsi="Univers" w:cs="Times New Roman"/>
          <w:lang w:eastAsia="de-DE"/>
        </w:rPr>
        <w:t xml:space="preserve">(1a) Eine erwerbstätige Person erhält eine Entschädigung in Geld, wenn </w:t>
      </w:r>
    </w:p>
    <w:p w:rsidR="00830A85" w:rsidRDefault="00830A85" w:rsidP="00830A85">
      <w:pPr>
        <w:spacing w:after="0" w:line="240" w:lineRule="auto"/>
        <w:rPr>
          <w:rFonts w:ascii="Univers" w:eastAsia="Times New Roman" w:hAnsi="Univers" w:cs="Times New Roman"/>
          <w:lang w:eastAsia="de-DE"/>
        </w:rPr>
      </w:pPr>
    </w:p>
    <w:p w:rsidR="00830A85" w:rsidRDefault="00830A85" w:rsidP="00830A85">
      <w:pPr>
        <w:rPr>
          <w:rFonts w:ascii="Univers" w:hAnsi="Univers"/>
          <w:i/>
          <w:iCs/>
          <w:color w:val="FF0000"/>
        </w:rPr>
      </w:pPr>
      <w:r>
        <w:rPr>
          <w:rFonts w:ascii="Univers" w:hAnsi="Univers"/>
          <w:i/>
          <w:iCs/>
          <w:color w:val="FF0000"/>
        </w:rPr>
        <w:t>Sofern der Deutsche Bundestag nach § 5 Absatz 1 Satz 1 eine epidemische Lage von nationaler Tragweite festgestellt hat, erhält eine erwerbstätige Person eine Entschädigung in Geld, wenn</w:t>
      </w:r>
    </w:p>
    <w:p w:rsidR="00830A85" w:rsidRDefault="00830A85" w:rsidP="00830A85">
      <w:pPr>
        <w:pStyle w:val="Listenabsatz"/>
        <w:numPr>
          <w:ilvl w:val="0"/>
          <w:numId w:val="2"/>
        </w:numPr>
        <w:spacing w:after="0" w:line="240" w:lineRule="auto"/>
        <w:rPr>
          <w:rFonts w:ascii="Univers" w:eastAsia="Times New Roman" w:hAnsi="Univers" w:cs="Times New Roman"/>
          <w:lang w:eastAsia="de-DE"/>
        </w:rPr>
      </w:pPr>
      <w:r>
        <w:rPr>
          <w:rFonts w:ascii="Univers" w:hAnsi="Univers"/>
          <w:i/>
          <w:iCs/>
        </w:rPr>
        <w:t xml:space="preserve">Einrichtungen zur Betreuung von Kindern, Schulen oder Einrichtungen für Menschen mit Behinderungen von der zuständigen Behörde zur Verhinderung der Verbreitung von Infektionen oder übertragbaren Krankheiten auf Grund dieses Gesetzes vorübergehend geschlossen werden oder deren Betreten, auch aufgrund einer Absonderung, untersagt wird, oder wenn von der zuständigen Behörde aus Gründen des Infektionsschutzes Schul- oder Betriebsferien angeordnet oder verlängert werden, </w:t>
      </w:r>
      <w:r>
        <w:rPr>
          <w:rFonts w:ascii="Univers" w:hAnsi="Univers"/>
          <w:i/>
          <w:iCs/>
          <w:color w:val="FF0000"/>
        </w:rPr>
        <w:t>die Präsenzpflicht in einer Schule aufgehoben oder der Zugang zum Kinderbetreuungsangebot eingeschränkt wird oder eine behördliche Empfehlung vorliegt, vom Besuch einer Einrichtung zur Betreuung von Kindern, einer Schule oder einer Einrichtung für Menschen mit Behinderungen abzusehen</w:t>
      </w:r>
    </w:p>
    <w:p w:rsidR="00830A85" w:rsidRDefault="00830A85" w:rsidP="00830A85">
      <w:pPr>
        <w:pStyle w:val="Listenabsatz"/>
        <w:numPr>
          <w:ilvl w:val="0"/>
          <w:numId w:val="2"/>
        </w:numPr>
        <w:spacing w:after="0" w:line="240" w:lineRule="auto"/>
        <w:rPr>
          <w:rFonts w:ascii="Univers" w:eastAsia="Times New Roman" w:hAnsi="Univers" w:cs="Times New Roman"/>
          <w:lang w:eastAsia="de-DE"/>
        </w:rPr>
      </w:pPr>
      <w:r>
        <w:rPr>
          <w:rFonts w:ascii="Univers" w:eastAsia="Times New Roman" w:hAnsi="Univers" w:cs="Times New Roman"/>
          <w:lang w:eastAsia="de-DE"/>
        </w:rPr>
        <w:t>die erwerbstätige Person ihr Kind, das das zwölfte Lebensjahr noch nicht vollendet hat oder behindert und auf Hilfe angewiesen ist, in diesem Zeitraum selbst beaufsichtigt, betreut oder pflegt, weil sie keine anderweitige zumutbare Betreuungsmöglichkeit sicherstellen kann, und</w:t>
      </w:r>
    </w:p>
    <w:p w:rsidR="00830A85" w:rsidRDefault="00830A85" w:rsidP="00830A85">
      <w:pPr>
        <w:pStyle w:val="Listenabsatz"/>
        <w:spacing w:after="0" w:line="240" w:lineRule="auto"/>
        <w:ind w:left="360"/>
        <w:rPr>
          <w:rFonts w:ascii="Univers" w:eastAsia="Times New Roman" w:hAnsi="Univers" w:cs="Times New Roman"/>
          <w:lang w:eastAsia="de-DE"/>
        </w:rPr>
      </w:pPr>
    </w:p>
    <w:p w:rsidR="00830A85" w:rsidRDefault="00830A85" w:rsidP="00830A85">
      <w:pPr>
        <w:pStyle w:val="Listenabsatz"/>
        <w:numPr>
          <w:ilvl w:val="0"/>
          <w:numId w:val="2"/>
        </w:numPr>
        <w:spacing w:after="0" w:line="240" w:lineRule="auto"/>
        <w:rPr>
          <w:rFonts w:ascii="Univers" w:eastAsia="Times New Roman" w:hAnsi="Univers" w:cs="Times New Roman"/>
          <w:lang w:eastAsia="de-DE"/>
        </w:rPr>
      </w:pPr>
      <w:r>
        <w:rPr>
          <w:rFonts w:ascii="Univers" w:eastAsia="Times New Roman" w:hAnsi="Univers" w:cs="Times New Roman"/>
          <w:lang w:eastAsia="de-DE"/>
        </w:rPr>
        <w:lastRenderedPageBreak/>
        <w:t>die erwerbstätige Person dadurch einen Verdienstausfall erleidet</w:t>
      </w:r>
    </w:p>
    <w:p w:rsidR="00830A85" w:rsidRDefault="00830A85" w:rsidP="00830A85">
      <w:pPr>
        <w:spacing w:after="0" w:line="240" w:lineRule="auto"/>
        <w:jc w:val="both"/>
        <w:rPr>
          <w:rFonts w:ascii="Univers" w:eastAsia="Times New Roman" w:hAnsi="Univers" w:cs="Times New Roman"/>
          <w:lang w:eastAsia="de-DE"/>
        </w:rPr>
      </w:pPr>
    </w:p>
    <w:p w:rsidR="00830A85" w:rsidRDefault="00830A85" w:rsidP="00830A85">
      <w:pPr>
        <w:pStyle w:val="Listenabsatz"/>
        <w:spacing w:after="0" w:line="240" w:lineRule="auto"/>
        <w:ind w:left="502"/>
        <w:jc w:val="both"/>
        <w:rPr>
          <w:rFonts w:ascii="Univers" w:hAnsi="Univers"/>
          <w:i/>
          <w:iCs/>
        </w:rPr>
      </w:pPr>
      <w:r>
        <w:rPr>
          <w:rFonts w:ascii="Univers" w:eastAsia="Times New Roman" w:hAnsi="Univers" w:cs="Times New Roman"/>
          <w:lang w:eastAsia="de-DE"/>
        </w:rPr>
        <w:t>Anspruchsberechtigte haben gegenüber der zuständigen Behörde, auf Verlangen des Arbeitgebers auch diesem gegenüber, darzulegen, dass sie in diesem Zeitraum keine zumutbare Betreuungsmöglichkeit für das Kind sicherstellen können. Ein Anspruch besteht nicht, soweit eine Schließung ohnehin wegen der Schul- oder Betriebsferien erfolgen würde. Im Fall, dass das Kind in Vollzeitpflege nach § 33 des Achten Buches Sozialgesetzbuch in den Haushalt aufgenommen wurde, steht der Anspruch auf Entschädigung den Pflegeeltern</w:t>
      </w:r>
    </w:p>
    <w:p w:rsidR="00830A85" w:rsidRDefault="00830A85" w:rsidP="00830A85">
      <w:pPr>
        <w:pStyle w:val="Listenabsatz"/>
        <w:spacing w:after="0" w:line="240" w:lineRule="auto"/>
        <w:ind w:left="502"/>
        <w:jc w:val="both"/>
        <w:rPr>
          <w:rFonts w:ascii="Univers" w:hAnsi="Univers"/>
          <w:i/>
          <w:iCs/>
        </w:rPr>
      </w:pPr>
      <w:r>
        <w:rPr>
          <w:rFonts w:ascii="Univers" w:hAnsi="Univers"/>
          <w:i/>
          <w:iCs/>
        </w:rPr>
        <w:t xml:space="preserve"> </w:t>
      </w:r>
    </w:p>
    <w:p w:rsidR="00830A85" w:rsidRDefault="00830A85" w:rsidP="00830A85">
      <w:pPr>
        <w:pStyle w:val="Listenabsatz"/>
        <w:numPr>
          <w:ilvl w:val="0"/>
          <w:numId w:val="1"/>
        </w:numPr>
        <w:spacing w:after="0" w:line="240" w:lineRule="auto"/>
        <w:jc w:val="both"/>
        <w:rPr>
          <w:rFonts w:ascii="Univers" w:hAnsi="Univers"/>
          <w:i/>
          <w:iCs/>
        </w:rPr>
      </w:pPr>
      <w:r>
        <w:rPr>
          <w:rFonts w:ascii="Univers" w:hAnsi="Univers"/>
          <w:iCs/>
        </w:rPr>
        <w:t>Die Entschädigung bemisst sich nach dem Verdienstausfall. Für die ersten sechs Wochen wird sie in Höhe des Verdienstausfalls gewährt. Vom Beginn der siebenten Woche an wird</w:t>
      </w:r>
      <w:r>
        <w:rPr>
          <w:rFonts w:ascii="Univers" w:hAnsi="Univers"/>
          <w:i/>
          <w:iCs/>
        </w:rPr>
        <w:t xml:space="preserve"> </w:t>
      </w:r>
      <w:r>
        <w:rPr>
          <w:rFonts w:ascii="Univers" w:hAnsi="Univers"/>
          <w:i/>
          <w:iCs/>
          <w:color w:val="FF0000"/>
        </w:rPr>
        <w:t xml:space="preserve">die Entschädigung abweichend von Satz 2 in Höhe von </w:t>
      </w:r>
      <w:r>
        <w:rPr>
          <w:rFonts w:ascii="Univers" w:hAnsi="Univers"/>
          <w:bCs/>
          <w:i/>
          <w:iCs/>
          <w:color w:val="FF0000"/>
        </w:rPr>
        <w:t>67 Prozent</w:t>
      </w:r>
      <w:r>
        <w:rPr>
          <w:rFonts w:ascii="Univers" w:hAnsi="Univers"/>
          <w:b/>
          <w:bCs/>
          <w:i/>
          <w:iCs/>
          <w:color w:val="FF0000"/>
        </w:rPr>
        <w:t xml:space="preserve"> </w:t>
      </w:r>
      <w:r>
        <w:rPr>
          <w:rFonts w:ascii="Univers" w:hAnsi="Univers"/>
          <w:i/>
          <w:iCs/>
          <w:color w:val="FF0000"/>
        </w:rPr>
        <w:t>des der erwerbstätigen Person entstandenen Verdienstausfalls gewährt; für einen vollen Monat wird höchstens ein Betrag von 2016 Euro gewährt</w:t>
      </w:r>
      <w:r>
        <w:rPr>
          <w:rFonts w:ascii="Univers" w:hAnsi="Univers"/>
          <w:i/>
          <w:iCs/>
        </w:rPr>
        <w:t xml:space="preserve">. Im </w:t>
      </w:r>
      <w:r>
        <w:rPr>
          <w:rFonts w:ascii="Univers" w:hAnsi="Univers"/>
          <w:b/>
          <w:bCs/>
          <w:i/>
          <w:iCs/>
        </w:rPr>
        <w:t xml:space="preserve">Fall des Absatzes 1a </w:t>
      </w:r>
      <w:r>
        <w:rPr>
          <w:rFonts w:ascii="Univers" w:hAnsi="Univers"/>
          <w:i/>
          <w:iCs/>
        </w:rPr>
        <w:t xml:space="preserve">wird die Entschädigung </w:t>
      </w:r>
      <w:r>
        <w:rPr>
          <w:rFonts w:ascii="Univers" w:hAnsi="Univers"/>
          <w:i/>
          <w:iCs/>
          <w:color w:val="FF0000"/>
        </w:rPr>
        <w:t xml:space="preserve">von Beginn an in der in Satz 3 bestimmten Höhe gewährt. Für jede erwerbstätige Person wird die Entschädigung nach Satz 4 </w:t>
      </w:r>
      <w:r>
        <w:rPr>
          <w:rFonts w:ascii="Univers" w:hAnsi="Univers"/>
          <w:bCs/>
          <w:i/>
          <w:iCs/>
          <w:color w:val="FF0000"/>
        </w:rPr>
        <w:t xml:space="preserve">für die Dauer der vom Deutschen Bundestag nach § 5 Absatz 1 Satz 1 festgestellten epidemischen Lage von nationaler Tragweite </w:t>
      </w:r>
      <w:r>
        <w:rPr>
          <w:rFonts w:ascii="Univers" w:hAnsi="Univers"/>
          <w:i/>
          <w:iCs/>
          <w:color w:val="FF0000"/>
        </w:rPr>
        <w:t xml:space="preserve">unabhängig von der Anzahl der Kinder für längstens </w:t>
      </w:r>
      <w:r>
        <w:rPr>
          <w:rFonts w:ascii="Univers" w:hAnsi="Univers"/>
          <w:bCs/>
          <w:i/>
          <w:iCs/>
          <w:color w:val="FF0000"/>
        </w:rPr>
        <w:t>zehn Wochen pro Jahr gewährt</w:t>
      </w:r>
      <w:r>
        <w:rPr>
          <w:rFonts w:ascii="Univers" w:hAnsi="Univers"/>
          <w:iCs/>
          <w:color w:val="FF0000"/>
        </w:rPr>
        <w:t>,</w:t>
      </w:r>
      <w:r>
        <w:rPr>
          <w:rFonts w:ascii="Univers" w:hAnsi="Univers"/>
          <w:b/>
          <w:iCs/>
          <w:color w:val="FF0000"/>
        </w:rPr>
        <w:t xml:space="preserve"> </w:t>
      </w:r>
      <w:r>
        <w:rPr>
          <w:rFonts w:ascii="Univers" w:hAnsi="Univers"/>
          <w:iCs/>
        </w:rPr>
        <w:t>für eine erwerbstätige Person, die ihr Kind allein beaufsichtigt, betreut oder pflegt, längstens für 20 Wochen pro Jahr.</w:t>
      </w:r>
    </w:p>
    <w:p w:rsidR="00830A85" w:rsidRDefault="00830A85" w:rsidP="00830A85">
      <w:pPr>
        <w:pStyle w:val="Listenabsatz"/>
        <w:spacing w:after="0" w:line="240" w:lineRule="auto"/>
        <w:ind w:left="360"/>
        <w:jc w:val="both"/>
        <w:rPr>
          <w:rFonts w:ascii="Univers" w:hAnsi="Univers"/>
          <w:i/>
          <w:iCs/>
        </w:rPr>
      </w:pPr>
    </w:p>
    <w:p w:rsidR="00830A85" w:rsidRDefault="00830A85" w:rsidP="00830A85">
      <w:pPr>
        <w:pStyle w:val="Listenabsatz"/>
        <w:numPr>
          <w:ilvl w:val="0"/>
          <w:numId w:val="1"/>
        </w:numPr>
        <w:spacing w:after="0" w:line="240" w:lineRule="auto"/>
        <w:jc w:val="both"/>
        <w:rPr>
          <w:rFonts w:ascii="Univers" w:hAnsi="Univers"/>
          <w:i/>
          <w:iCs/>
        </w:rPr>
      </w:pPr>
      <w:r w:rsidRPr="00773038">
        <w:rPr>
          <w:rFonts w:ascii="Univers" w:hAnsi="Univers"/>
          <w:iCs/>
        </w:rPr>
        <w:t>Als Verdienstausfall gilt das Arbeitsentgelt, das dem Arbeitnehmer bei der für ihn maßgebenden regelmäßigen Arbeitszeit zusteht, vermindert um Steuern und Beiträge zur Sozialversicherung sowie zur Arbeitsförderung oder entsprechenden Aufwendungen zur sozialen Sicherung in angemessenem Umfang (Netto-Arbeitsentgelt).</w:t>
      </w:r>
      <w:r w:rsidRPr="00773038">
        <w:rPr>
          <w:rFonts w:ascii="Univers" w:hAnsi="Univers"/>
          <w:i/>
          <w:iCs/>
        </w:rPr>
        <w:t xml:space="preserve"> </w:t>
      </w:r>
      <w:r>
        <w:rPr>
          <w:rFonts w:ascii="Univers" w:hAnsi="Univers"/>
          <w:i/>
          <w:iCs/>
          <w:color w:val="FF0000"/>
        </w:rPr>
        <w:t xml:space="preserve">Bei der Ermittlung des Arbeitsentgelts sind die Regelungen des § 4 Absatz 1, 1a und 4 des Entgeltfortzahlungsgesetzes entsprechend anzuwenden. Für die Berechnung des Verdienstausfalls ist die Nettoentgeltdifferenz in entsprechender Anwendung des § 106 des Dritten Buches Sozialgesetzbuch zu bilden. </w:t>
      </w:r>
      <w:r w:rsidRPr="00773038">
        <w:rPr>
          <w:rFonts w:ascii="Univers" w:hAnsi="Univers"/>
          <w:iCs/>
        </w:rPr>
        <w:t xml:space="preserve">Der Betrag erhöht sich um das Kurzarbeitergeld und um das Zuschuss-Wintergeld, auf das der Arbeitnehmer Anspruch hätte, wenn er nicht aus den in Absatz 1 genannten Gründen an der Arbeitsleistung verhindert wäre. </w:t>
      </w:r>
      <w:r w:rsidRPr="00773038">
        <w:rPr>
          <w:rFonts w:ascii="Univers" w:eastAsia="Times New Roman" w:hAnsi="Univers" w:cs="Times New Roman"/>
          <w:lang w:eastAsia="de-DE"/>
        </w:rPr>
        <w:t xml:space="preserve">Verbleibt dem Arbeitnehmer nach Einstellung </w:t>
      </w:r>
      <w:r>
        <w:rPr>
          <w:rFonts w:ascii="Univers" w:eastAsia="Times New Roman" w:hAnsi="Univers" w:cs="Times New Roman"/>
          <w:lang w:eastAsia="de-DE"/>
        </w:rPr>
        <w:t>der verbotenen Tätigkeit oder bei Absonderung ein Teil des bisherigen Arbeitsentgelts, so gilt als Verdienstausfall der Unterschiedsbetrag zwischen dem in Satz 1 genannten Netto-Arbeitsentgelt und dem in dem auf die Einstellung der verbotenen Tätigkeit oder der Absonderung folgenden Kalendermonat erzielten Netto-Arbeitsentgelt aus dem bisherigen Arbe</w:t>
      </w:r>
      <w:r w:rsidR="00773038">
        <w:rPr>
          <w:rFonts w:ascii="Univers" w:eastAsia="Times New Roman" w:hAnsi="Univers" w:cs="Times New Roman"/>
          <w:lang w:eastAsia="de-DE"/>
        </w:rPr>
        <w:t xml:space="preserve">itsverhältnis. </w:t>
      </w:r>
      <w:r w:rsidR="00773038" w:rsidRPr="00773038">
        <w:rPr>
          <w:rFonts w:ascii="Univers" w:eastAsia="Times New Roman" w:hAnsi="Univers" w:cs="Times New Roman"/>
          <w:i/>
          <w:color w:val="FF0000"/>
          <w:lang w:eastAsia="de-DE"/>
        </w:rPr>
        <w:t>Die Satz 1 gilt</w:t>
      </w:r>
      <w:r w:rsidRPr="00773038">
        <w:rPr>
          <w:rFonts w:ascii="Univers" w:eastAsia="Times New Roman" w:hAnsi="Univers" w:cs="Times New Roman"/>
          <w:i/>
          <w:color w:val="FF0000"/>
          <w:lang w:eastAsia="de-DE"/>
        </w:rPr>
        <w:t xml:space="preserve"> </w:t>
      </w:r>
      <w:r>
        <w:rPr>
          <w:rFonts w:ascii="Univers" w:eastAsia="Times New Roman" w:hAnsi="Univers" w:cs="Times New Roman"/>
          <w:lang w:eastAsia="de-DE"/>
        </w:rPr>
        <w:t>für die Berechnung des Verdienstausfalls bei den in Heimarbeit Beschäftigten und bei Selbständigen entsprechend mit der Maßgabe, dass bei den in Heimarbeit Beschäftigten das im Durchschnitt des letzten Jahres vor Einstellung der verbotenen Tätigkeit oder vor der Absonderung verdiente monatliche Arbeitsentgelt und bei Selbständigen ein Zwölftel des Arbeitseinkommens (§ 15 des Vierten Buches Sozialgesetzbuch) aus der entschädigungspflichtigen Tätigkeit zugrunde zu legen ist.</w:t>
      </w:r>
    </w:p>
    <w:p w:rsidR="00830A85" w:rsidRDefault="00830A85" w:rsidP="00830A85">
      <w:pPr>
        <w:pStyle w:val="Listenabsatz"/>
        <w:spacing w:after="0" w:line="240" w:lineRule="auto"/>
        <w:ind w:left="360"/>
        <w:jc w:val="both"/>
        <w:rPr>
          <w:rFonts w:ascii="Univers" w:eastAsia="Times New Roman" w:hAnsi="Univers" w:cs="Times New Roman"/>
          <w:lang w:eastAsia="de-DE"/>
        </w:rPr>
      </w:pPr>
    </w:p>
    <w:p w:rsidR="00830A85" w:rsidRDefault="00830A85" w:rsidP="00830A85">
      <w:pPr>
        <w:pStyle w:val="Listenabsatz"/>
        <w:numPr>
          <w:ilvl w:val="0"/>
          <w:numId w:val="1"/>
        </w:numPr>
        <w:spacing w:after="0" w:line="240" w:lineRule="auto"/>
        <w:jc w:val="both"/>
        <w:rPr>
          <w:rFonts w:ascii="Univers" w:eastAsia="Times New Roman" w:hAnsi="Univers" w:cs="Times New Roman"/>
          <w:lang w:eastAsia="de-DE"/>
        </w:rPr>
      </w:pPr>
      <w:r>
        <w:rPr>
          <w:rFonts w:ascii="Univers" w:eastAsia="Times New Roman" w:hAnsi="Univers" w:cs="Times New Roman"/>
          <w:lang w:eastAsia="de-DE"/>
        </w:rPr>
        <w:t>Bei einer Existenzgefährdung können den Entschädigungsberechtigten die während der Verdienstausfallzeiten entstehenden Mehraufwendungen auf Antrag in angemessenem Umfang von der zuständigen Behörde erstattet werden. Selbständige, deren Betrieb oder Praxis während der Dauer einer Maßnahme nach Absatz 1 ruht, erhalten neben der Entschädigung nach den Absätzen 2 und 3 auf Antrag von der zuständigen Behörde Ersatz der in dieser Zeit weiterlaufenden nicht gedeckten Betriebsausgaben in angemessenem Umfang.</w:t>
      </w:r>
    </w:p>
    <w:p w:rsidR="00830A85" w:rsidRDefault="00830A85" w:rsidP="00830A85">
      <w:pPr>
        <w:pStyle w:val="Listenabsatz"/>
        <w:spacing w:after="0" w:line="240" w:lineRule="auto"/>
        <w:ind w:left="360"/>
        <w:jc w:val="both"/>
        <w:rPr>
          <w:rFonts w:ascii="Univers" w:eastAsia="Times New Roman" w:hAnsi="Univers" w:cs="Times New Roman"/>
          <w:lang w:eastAsia="de-DE"/>
        </w:rPr>
      </w:pPr>
    </w:p>
    <w:p w:rsidR="00830A85" w:rsidRDefault="00830A85" w:rsidP="00830A85">
      <w:pPr>
        <w:pStyle w:val="Listenabsatz"/>
        <w:numPr>
          <w:ilvl w:val="0"/>
          <w:numId w:val="1"/>
        </w:numPr>
        <w:spacing w:after="0" w:line="240" w:lineRule="auto"/>
        <w:jc w:val="both"/>
        <w:rPr>
          <w:rFonts w:ascii="Univers" w:eastAsia="Times New Roman" w:hAnsi="Univers" w:cs="Times New Roman"/>
          <w:lang w:eastAsia="de-DE"/>
        </w:rPr>
      </w:pPr>
      <w:r>
        <w:rPr>
          <w:rFonts w:ascii="Univers" w:hAnsi="Univers"/>
          <w:iCs/>
        </w:rPr>
        <w:t>Bei Arbeitnehmern hat der Arbeitgeber für die Dauer des Arbeitsverhältnisses, längstens für sechs Wochen, die Entschädigung für die zuständige Behörde auszuzahlen</w:t>
      </w:r>
      <w:r>
        <w:rPr>
          <w:rFonts w:ascii="Univers" w:hAnsi="Univers"/>
          <w:i/>
          <w:iCs/>
        </w:rPr>
        <w:t xml:space="preserve">. </w:t>
      </w:r>
      <w:r>
        <w:rPr>
          <w:rFonts w:ascii="Univers" w:hAnsi="Univers"/>
          <w:i/>
          <w:iCs/>
          <w:color w:val="FF0000"/>
        </w:rPr>
        <w:t xml:space="preserve">Abweichend von Satz 1 hat der Arbeitgeber die Entschädigung nach Absatz 1a für die in Absatz 2 Satz 5 genannte Dauer auszuzahlen. </w:t>
      </w:r>
      <w:r>
        <w:rPr>
          <w:rFonts w:ascii="Univers" w:hAnsi="Univers"/>
        </w:rPr>
        <w:t>Die ausgezahlten Beträge werden dem Arbeitgeber auf Antrag von der zuständigen Behörde erstattet. Im Übrigen wird die Entschädigung von der zuständigen Behörde auf Antrag gewährt.</w:t>
      </w:r>
    </w:p>
    <w:p w:rsidR="00830A85" w:rsidRDefault="00830A85" w:rsidP="00830A85">
      <w:pPr>
        <w:pStyle w:val="Listenabsatz"/>
        <w:spacing w:after="0" w:line="240" w:lineRule="auto"/>
        <w:ind w:left="360"/>
        <w:jc w:val="both"/>
        <w:rPr>
          <w:rFonts w:ascii="Univers" w:eastAsia="Times New Roman" w:hAnsi="Univers" w:cs="Times New Roman"/>
          <w:color w:val="FF0000"/>
          <w:lang w:eastAsia="de-DE"/>
        </w:rPr>
      </w:pPr>
    </w:p>
    <w:p w:rsidR="00830A85" w:rsidRDefault="00830A85" w:rsidP="00830A85">
      <w:pPr>
        <w:pStyle w:val="Listenabsatz"/>
        <w:spacing w:after="0" w:line="240" w:lineRule="auto"/>
        <w:ind w:left="360"/>
        <w:jc w:val="both"/>
        <w:rPr>
          <w:rFonts w:ascii="Univers" w:eastAsia="Times New Roman" w:hAnsi="Univers" w:cs="Times New Roman"/>
          <w:lang w:eastAsia="de-DE"/>
        </w:rPr>
      </w:pPr>
    </w:p>
    <w:p w:rsidR="00830A85" w:rsidRDefault="00830A85" w:rsidP="00830A85">
      <w:pPr>
        <w:pStyle w:val="Listenabsatz"/>
        <w:numPr>
          <w:ilvl w:val="0"/>
          <w:numId w:val="1"/>
        </w:numPr>
        <w:spacing w:after="0" w:line="240" w:lineRule="auto"/>
        <w:jc w:val="both"/>
        <w:rPr>
          <w:rFonts w:ascii="Univers" w:eastAsia="Times New Roman" w:hAnsi="Univers" w:cs="Times New Roman"/>
          <w:lang w:eastAsia="de-DE"/>
        </w:rPr>
      </w:pPr>
      <w:r>
        <w:rPr>
          <w:rFonts w:ascii="Univers" w:eastAsia="Times New Roman" w:hAnsi="Univers" w:cs="Times New Roman"/>
          <w:lang w:eastAsia="de-DE"/>
        </w:rPr>
        <w:t>Bei Arbeitnehmern richtet sich die Fälligkeit der Entschädigungsleistungen nach der Fälligkeit des aus der bisherigen Tätigkeit erzielten Arbeitsentgelts. Bei sonstigen Entschädigungsberechtigten ist die Entschädigung jeweils zum Ersten eines Monats für den abgelaufenen Monat zu gewähren.</w:t>
      </w:r>
    </w:p>
    <w:p w:rsidR="00830A85" w:rsidRDefault="00830A85" w:rsidP="00830A85">
      <w:pPr>
        <w:pStyle w:val="Listenabsatz"/>
        <w:spacing w:after="0" w:line="240" w:lineRule="auto"/>
        <w:ind w:left="360"/>
        <w:jc w:val="both"/>
        <w:rPr>
          <w:rFonts w:ascii="Univers" w:eastAsia="Times New Roman" w:hAnsi="Univers" w:cs="Times New Roman"/>
          <w:lang w:eastAsia="de-DE"/>
        </w:rPr>
      </w:pPr>
    </w:p>
    <w:p w:rsidR="00830A85" w:rsidRDefault="00830A85" w:rsidP="00830A85">
      <w:pPr>
        <w:pStyle w:val="Listenabsatz"/>
        <w:numPr>
          <w:ilvl w:val="0"/>
          <w:numId w:val="1"/>
        </w:numPr>
        <w:spacing w:after="0" w:line="240" w:lineRule="auto"/>
        <w:jc w:val="both"/>
        <w:rPr>
          <w:rFonts w:ascii="Univers" w:eastAsia="Times New Roman" w:hAnsi="Univers" w:cs="Times New Roman"/>
          <w:lang w:eastAsia="de-DE"/>
        </w:rPr>
      </w:pPr>
      <w:r>
        <w:rPr>
          <w:rFonts w:ascii="Univers" w:eastAsia="Times New Roman" w:hAnsi="Univers" w:cs="Times New Roman"/>
          <w:lang w:eastAsia="de-DE"/>
        </w:rPr>
        <w:t>Wird der Entschädigungsberechtigte arbeitsunfähig, so bleibt der Entschädigungsanspruch in Höhe des Betrages, der bei Eintritt der Arbeitsunfähigkeit an den Berechtigten auszuzahlen war, bestehen. Ansprüche, die Entschädigungsberechtigten wegen des durch die Arbeitsunfähigkeit bedingten Verdienstausfalls auf Grund anderer gesetzlicher Vorschriften oder eines privaten Versicherungsverhältnisses zustehen, gehen insoweit auf das entschädigungspflichtige Land über.</w:t>
      </w:r>
    </w:p>
    <w:p w:rsidR="00830A85" w:rsidRDefault="00830A85" w:rsidP="00830A85">
      <w:pPr>
        <w:pStyle w:val="Listenabsatz"/>
        <w:rPr>
          <w:rFonts w:ascii="Univers" w:eastAsia="Times New Roman" w:hAnsi="Univers" w:cs="Times New Roman"/>
          <w:lang w:eastAsia="de-DE"/>
        </w:rPr>
      </w:pPr>
    </w:p>
    <w:p w:rsidR="00830A85" w:rsidRDefault="00830A85" w:rsidP="00830A85">
      <w:pPr>
        <w:pStyle w:val="Listenabsatz"/>
        <w:numPr>
          <w:ilvl w:val="0"/>
          <w:numId w:val="1"/>
        </w:numPr>
        <w:spacing w:after="0" w:line="240" w:lineRule="auto"/>
        <w:jc w:val="both"/>
        <w:rPr>
          <w:rFonts w:ascii="Univers" w:eastAsia="Times New Roman" w:hAnsi="Univers" w:cs="Times New Roman"/>
          <w:lang w:eastAsia="de-DE"/>
        </w:rPr>
      </w:pPr>
      <w:r>
        <w:rPr>
          <w:rFonts w:ascii="Univers" w:eastAsia="Times New Roman" w:hAnsi="Univers" w:cs="Times New Roman"/>
          <w:lang w:eastAsia="de-DE"/>
        </w:rPr>
        <w:t xml:space="preserve">Auf die Entschädigung sind anzurechnen </w:t>
      </w:r>
    </w:p>
    <w:p w:rsidR="00830A85" w:rsidRDefault="00830A85" w:rsidP="00830A85">
      <w:pPr>
        <w:pStyle w:val="Listenabsatz"/>
        <w:rPr>
          <w:rFonts w:ascii="Univers" w:eastAsia="Times New Roman" w:hAnsi="Univers" w:cs="Times New Roman"/>
          <w:lang w:eastAsia="de-DE"/>
        </w:rPr>
      </w:pPr>
    </w:p>
    <w:p w:rsidR="00830A85" w:rsidRDefault="00830A85" w:rsidP="00830A85">
      <w:pPr>
        <w:pStyle w:val="Listenabsatz"/>
        <w:numPr>
          <w:ilvl w:val="0"/>
          <w:numId w:val="3"/>
        </w:numPr>
        <w:spacing w:after="0" w:line="240" w:lineRule="auto"/>
        <w:jc w:val="both"/>
        <w:rPr>
          <w:rFonts w:ascii="Univers" w:eastAsia="Times New Roman" w:hAnsi="Univers" w:cs="Times New Roman"/>
          <w:lang w:eastAsia="de-DE"/>
        </w:rPr>
      </w:pPr>
      <w:r>
        <w:rPr>
          <w:rFonts w:ascii="Univers" w:eastAsia="Times New Roman" w:hAnsi="Univers" w:cs="Times New Roman"/>
          <w:lang w:eastAsia="de-DE"/>
        </w:rPr>
        <w:t>Zuschüsse des Arbeitgebers, soweit sie zusammen mit der Entschädigung den tatsächlichen Verdienstausfall übersteigen,</w:t>
      </w:r>
    </w:p>
    <w:p w:rsidR="00830A85" w:rsidRDefault="00830A85" w:rsidP="00830A85">
      <w:pPr>
        <w:pStyle w:val="Listenabsatz"/>
        <w:spacing w:after="0" w:line="240" w:lineRule="auto"/>
        <w:jc w:val="both"/>
        <w:rPr>
          <w:rFonts w:ascii="Univers" w:eastAsia="Times New Roman" w:hAnsi="Univers" w:cs="Times New Roman"/>
          <w:lang w:eastAsia="de-DE"/>
        </w:rPr>
      </w:pPr>
    </w:p>
    <w:p w:rsidR="00830A85" w:rsidRDefault="00830A85" w:rsidP="00830A85">
      <w:pPr>
        <w:pStyle w:val="Listenabsatz"/>
        <w:numPr>
          <w:ilvl w:val="0"/>
          <w:numId w:val="3"/>
        </w:numPr>
        <w:spacing w:after="0" w:line="240" w:lineRule="auto"/>
        <w:jc w:val="both"/>
        <w:rPr>
          <w:rFonts w:ascii="Univers" w:eastAsia="Times New Roman" w:hAnsi="Univers" w:cs="Times New Roman"/>
          <w:lang w:eastAsia="de-DE"/>
        </w:rPr>
      </w:pPr>
      <w:r>
        <w:rPr>
          <w:rFonts w:ascii="Univers" w:eastAsia="Times New Roman" w:hAnsi="Univers" w:cs="Times New Roman"/>
          <w:lang w:eastAsia="de-DE"/>
        </w:rPr>
        <w:t>das Netto-Arbeitsentgelt und das Arbeitseinkommen nach Absatz 3 aus einer Tätigkeit, die als Ersatz der verbotenen Tätigkeit ausgeübt wird, soweit es zusammen mit der Entschädigung den tatsächlichen Verdienstausfall übersteigt,</w:t>
      </w:r>
    </w:p>
    <w:p w:rsidR="00830A85" w:rsidRDefault="00830A85" w:rsidP="00830A85">
      <w:pPr>
        <w:pStyle w:val="Listenabsatz"/>
        <w:rPr>
          <w:rFonts w:ascii="Univers" w:eastAsia="Times New Roman" w:hAnsi="Univers" w:cs="Times New Roman"/>
          <w:lang w:eastAsia="de-DE"/>
        </w:rPr>
      </w:pPr>
    </w:p>
    <w:p w:rsidR="00830A85" w:rsidRDefault="00830A85" w:rsidP="00830A85">
      <w:pPr>
        <w:pStyle w:val="Listenabsatz"/>
        <w:numPr>
          <w:ilvl w:val="0"/>
          <w:numId w:val="3"/>
        </w:numPr>
        <w:spacing w:after="0" w:line="240" w:lineRule="auto"/>
        <w:jc w:val="both"/>
        <w:rPr>
          <w:rFonts w:ascii="Univers" w:eastAsia="Times New Roman" w:hAnsi="Univers" w:cs="Times New Roman"/>
          <w:lang w:eastAsia="de-DE"/>
        </w:rPr>
      </w:pPr>
      <w:r>
        <w:rPr>
          <w:rFonts w:ascii="Univers" w:eastAsia="Times New Roman" w:hAnsi="Univers" w:cs="Times New Roman"/>
          <w:lang w:eastAsia="de-DE"/>
        </w:rPr>
        <w:t xml:space="preserve">der Wert desjenigen, </w:t>
      </w:r>
      <w:proofErr w:type="gramStart"/>
      <w:r>
        <w:rPr>
          <w:rFonts w:ascii="Univers" w:eastAsia="Times New Roman" w:hAnsi="Univers" w:cs="Times New Roman"/>
          <w:lang w:eastAsia="de-DE"/>
        </w:rPr>
        <w:t>das</w:t>
      </w:r>
      <w:proofErr w:type="gramEnd"/>
      <w:r>
        <w:rPr>
          <w:rFonts w:ascii="Univers" w:eastAsia="Times New Roman" w:hAnsi="Univers" w:cs="Times New Roman"/>
          <w:lang w:eastAsia="de-DE"/>
        </w:rPr>
        <w:t xml:space="preserve"> der Entschädigungsberechtigte durch Ausübung einer anderen als der verbotenen Tätigkeit zu erwerben böswillig unterlässt, soweit es zusammen mit der Entschädigung den tatsächlichen Verdienstausfall übersteigt,</w:t>
      </w:r>
    </w:p>
    <w:p w:rsidR="00830A85" w:rsidRDefault="00830A85" w:rsidP="00830A85">
      <w:pPr>
        <w:pStyle w:val="Listenabsatz"/>
        <w:rPr>
          <w:rFonts w:ascii="Univers" w:eastAsia="Times New Roman" w:hAnsi="Univers" w:cs="Times New Roman"/>
          <w:lang w:eastAsia="de-DE"/>
        </w:rPr>
      </w:pPr>
    </w:p>
    <w:p w:rsidR="00830A85" w:rsidRDefault="00830A85" w:rsidP="00830A85">
      <w:pPr>
        <w:pStyle w:val="Listenabsatz"/>
        <w:numPr>
          <w:ilvl w:val="0"/>
          <w:numId w:val="3"/>
        </w:numPr>
        <w:spacing w:after="0" w:line="240" w:lineRule="auto"/>
        <w:jc w:val="both"/>
        <w:rPr>
          <w:rFonts w:ascii="Univers" w:eastAsia="Times New Roman" w:hAnsi="Univers" w:cs="Times New Roman"/>
          <w:lang w:eastAsia="de-DE"/>
        </w:rPr>
      </w:pPr>
      <w:r>
        <w:rPr>
          <w:rFonts w:ascii="Univers" w:eastAsia="Times New Roman" w:hAnsi="Univers" w:cs="Times New Roman"/>
          <w:lang w:eastAsia="de-DE"/>
        </w:rPr>
        <w:t xml:space="preserve">das Arbeitslosengeld in der Höhe, in der diese Leistung dem Entschädigungsberechtigten ohne Anwendung der Vorschriften über das Ruhen des Anspruchs auf Arbeitslosengeld bei Sperrzeit nach dem </w:t>
      </w:r>
      <w:proofErr w:type="spellStart"/>
      <w:r>
        <w:rPr>
          <w:rFonts w:ascii="Univers" w:eastAsia="Times New Roman" w:hAnsi="Univers" w:cs="Times New Roman"/>
          <w:lang w:eastAsia="de-DE"/>
        </w:rPr>
        <w:t>Dritten</w:t>
      </w:r>
      <w:proofErr w:type="spellEnd"/>
      <w:r>
        <w:rPr>
          <w:rFonts w:ascii="Univers" w:eastAsia="Times New Roman" w:hAnsi="Univers" w:cs="Times New Roman"/>
          <w:lang w:eastAsia="de-DE"/>
        </w:rPr>
        <w:t xml:space="preserve"> Buch Sozialgesetzbuch sowie des § 66 des Ersten Buches Sozialgesetzbuch in der jeweils geltenden Fassung hätten gewährt werden müssen.</w:t>
      </w:r>
    </w:p>
    <w:p w:rsidR="00830A85" w:rsidRDefault="00830A85" w:rsidP="00830A85">
      <w:pPr>
        <w:rPr>
          <w:rFonts w:ascii="Univers" w:eastAsia="Times New Roman" w:hAnsi="Univers" w:cs="Times New Roman"/>
          <w:lang w:eastAsia="de-DE"/>
        </w:rPr>
      </w:pPr>
    </w:p>
    <w:p w:rsidR="00830A85" w:rsidRDefault="00830A85" w:rsidP="00830A85">
      <w:pPr>
        <w:rPr>
          <w:rFonts w:ascii="Univers" w:eastAsia="Times New Roman" w:hAnsi="Univers" w:cs="Times New Roman"/>
          <w:lang w:eastAsia="de-DE"/>
        </w:rPr>
      </w:pPr>
      <w:r>
        <w:rPr>
          <w:rFonts w:ascii="Univers" w:eastAsia="Times New Roman" w:hAnsi="Univers" w:cs="Times New Roman"/>
          <w:lang w:eastAsia="de-DE"/>
        </w:rPr>
        <w:t>Liegen die Voraussetzungen für eine Anrechnung sowohl nach Nummer 3 als auch nach Nummer 4 vor, so ist der höhere Betrag anzurechnen</w:t>
      </w:r>
    </w:p>
    <w:p w:rsidR="00830A85" w:rsidRDefault="00830A85" w:rsidP="00830A85">
      <w:pPr>
        <w:pStyle w:val="Listenabsatz"/>
        <w:numPr>
          <w:ilvl w:val="0"/>
          <w:numId w:val="1"/>
        </w:numPr>
        <w:spacing w:after="0" w:line="240" w:lineRule="auto"/>
        <w:jc w:val="both"/>
        <w:rPr>
          <w:rFonts w:ascii="Univers" w:eastAsia="Times New Roman" w:hAnsi="Univers" w:cs="Times New Roman"/>
          <w:lang w:eastAsia="de-DE"/>
        </w:rPr>
      </w:pPr>
      <w:r>
        <w:rPr>
          <w:rFonts w:ascii="Univers" w:eastAsia="Times New Roman" w:hAnsi="Univers" w:cs="Times New Roman"/>
          <w:lang w:eastAsia="de-DE"/>
        </w:rPr>
        <w:t xml:space="preserve">Der Anspruch auf Entschädigung geht insoweit, als dem Entschädigungsberechtigten Arbeitslosengeld oder Kurzarbeitergeld für die gleiche Zeit zu gewähren ist, auf die Bundesagentur für Arbeit über. </w:t>
      </w:r>
      <w:r>
        <w:rPr>
          <w:rFonts w:ascii="Univers" w:hAnsi="Univers"/>
          <w:i/>
          <w:iCs/>
          <w:color w:val="C00000"/>
        </w:rPr>
        <w:t xml:space="preserve">Das Eintreten eines Tatbestandes nach Absatz 1 oder Absatz 1a unterbricht nicht den Bezug von Arbeitslosengeld oder Kurzarbeitergeld, wenn die weiteren Voraussetzungen nach dem </w:t>
      </w:r>
      <w:proofErr w:type="spellStart"/>
      <w:r>
        <w:rPr>
          <w:rFonts w:ascii="Univers" w:hAnsi="Univers"/>
          <w:i/>
          <w:iCs/>
          <w:color w:val="C00000"/>
        </w:rPr>
        <w:t>Dritten</w:t>
      </w:r>
      <w:proofErr w:type="spellEnd"/>
      <w:r>
        <w:rPr>
          <w:rFonts w:ascii="Univers" w:hAnsi="Univers"/>
          <w:i/>
          <w:iCs/>
          <w:color w:val="C00000"/>
        </w:rPr>
        <w:t xml:space="preserve"> Buch des Sozialgesetzbuches erfüllt sind.</w:t>
      </w:r>
    </w:p>
    <w:p w:rsidR="00830A85" w:rsidRDefault="00830A85" w:rsidP="00830A85">
      <w:pPr>
        <w:pStyle w:val="Listenabsatz"/>
        <w:spacing w:after="0" w:line="240" w:lineRule="auto"/>
        <w:ind w:left="360"/>
        <w:jc w:val="both"/>
        <w:rPr>
          <w:rFonts w:ascii="Univers" w:eastAsia="Times New Roman" w:hAnsi="Univers" w:cs="Times New Roman"/>
          <w:lang w:eastAsia="de-DE"/>
        </w:rPr>
      </w:pPr>
    </w:p>
    <w:p w:rsidR="00830A85" w:rsidRDefault="00830A85" w:rsidP="00830A85">
      <w:pPr>
        <w:spacing w:after="0" w:line="240" w:lineRule="auto"/>
        <w:jc w:val="both"/>
        <w:rPr>
          <w:rFonts w:ascii="Univers" w:eastAsia="Times New Roman" w:hAnsi="Univers" w:cs="Times New Roman"/>
          <w:lang w:eastAsia="de-DE"/>
        </w:rPr>
      </w:pPr>
    </w:p>
    <w:p w:rsidR="00773038" w:rsidRDefault="00830A85" w:rsidP="00773038">
      <w:pPr>
        <w:pStyle w:val="Listenabsatz"/>
        <w:numPr>
          <w:ilvl w:val="0"/>
          <w:numId w:val="1"/>
        </w:numPr>
        <w:spacing w:after="0" w:line="240" w:lineRule="auto"/>
        <w:jc w:val="both"/>
        <w:rPr>
          <w:rFonts w:ascii="Univers" w:eastAsia="Times New Roman" w:hAnsi="Univers" w:cs="Times New Roman"/>
          <w:lang w:eastAsia="de-DE"/>
        </w:rPr>
      </w:pPr>
      <w:r>
        <w:rPr>
          <w:rFonts w:ascii="Univers" w:eastAsia="Times New Roman" w:hAnsi="Univers" w:cs="Times New Roman"/>
          <w:lang w:eastAsia="de-DE"/>
        </w:rPr>
        <w:lastRenderedPageBreak/>
        <w:t>Ein auf anderen gesetzlichen Vorschriften beruhender Anspruch auf Ersatz des Verdienstausfalls, der dem Entschädigungsberechtigten durch das Verbot der Ausübung seiner Erwerbstätigkeit oder durch die Absonderung erwachsen ist, geht insoweit auf das zur Gewährung der Entschädigung verpflichtete Land über, als dieses dem Entschädigungsberechtigten nach diesem Gesetz Leistungen zu gewähren hat.</w:t>
      </w:r>
    </w:p>
    <w:p w:rsidR="00773038" w:rsidRDefault="00773038" w:rsidP="00773038">
      <w:pPr>
        <w:pStyle w:val="Listenabsatz"/>
        <w:spacing w:after="0" w:line="240" w:lineRule="auto"/>
        <w:ind w:left="360"/>
        <w:jc w:val="both"/>
        <w:rPr>
          <w:rFonts w:ascii="Univers" w:eastAsia="Times New Roman" w:hAnsi="Univers" w:cs="Times New Roman"/>
          <w:lang w:eastAsia="de-DE"/>
        </w:rPr>
      </w:pPr>
    </w:p>
    <w:p w:rsidR="00773038" w:rsidRPr="00773038" w:rsidRDefault="00773038" w:rsidP="00773038">
      <w:pPr>
        <w:pStyle w:val="Listenabsatz"/>
        <w:numPr>
          <w:ilvl w:val="0"/>
          <w:numId w:val="1"/>
        </w:numPr>
        <w:spacing w:after="0" w:line="240" w:lineRule="auto"/>
        <w:jc w:val="both"/>
        <w:rPr>
          <w:rFonts w:ascii="Univers" w:eastAsia="Times New Roman" w:hAnsi="Univers" w:cs="Times New Roman"/>
          <w:lang w:eastAsia="de-DE"/>
        </w:rPr>
      </w:pPr>
      <w:r w:rsidRPr="00773038">
        <w:rPr>
          <w:rFonts w:ascii="Univers" w:hAnsi="Univers"/>
          <w:iCs/>
        </w:rPr>
        <w:t>Die Anträge nach Absatz 5 sind innerhalb einer Frist von</w:t>
      </w:r>
      <w:r w:rsidRPr="00773038">
        <w:rPr>
          <w:rFonts w:ascii="Univers" w:hAnsi="Univers"/>
          <w:i/>
          <w:iCs/>
        </w:rPr>
        <w:t xml:space="preserve"> </w:t>
      </w:r>
      <w:r w:rsidRPr="00773038">
        <w:rPr>
          <w:rFonts w:ascii="Univers" w:hAnsi="Univers"/>
          <w:b/>
          <w:bCs/>
          <w:i/>
          <w:iCs/>
          <w:color w:val="C00000"/>
        </w:rPr>
        <w:t>zwei Jahren</w:t>
      </w:r>
      <w:r w:rsidRPr="00773038">
        <w:rPr>
          <w:rFonts w:ascii="Univers" w:hAnsi="Univers"/>
          <w:i/>
          <w:iCs/>
          <w:color w:val="C00000"/>
        </w:rPr>
        <w:t xml:space="preserve"> </w:t>
      </w:r>
      <w:r w:rsidRPr="00773038">
        <w:rPr>
          <w:rFonts w:ascii="Univers" w:hAnsi="Univers"/>
          <w:i/>
          <w:iCs/>
        </w:rPr>
        <w:t>nach Einstellung der verbotenen Tätigkeit, dem Ende der Absonderung oder nach dem Ende der vorübergehenden Schließung, der Untersagung des Betretens</w:t>
      </w:r>
      <w:r w:rsidRPr="00773038">
        <w:rPr>
          <w:rFonts w:ascii="Univers" w:hAnsi="Univers"/>
          <w:i/>
          <w:iCs/>
          <w:color w:val="C00000"/>
        </w:rPr>
        <w:t xml:space="preserve">, der Schul- oder Betriebsferien, der Aufhebung der Präsenzpflicht, der Einschränkung des Kinderbetreuungsangebotes oder der Aufhebung der Empfehlung </w:t>
      </w:r>
      <w:r w:rsidRPr="00773038">
        <w:rPr>
          <w:rFonts w:ascii="Univers" w:hAnsi="Univers"/>
          <w:i/>
          <w:iCs/>
        </w:rPr>
        <w:t>nach Absatz 1a Satz 1 Nummer 1 bei der zuständigen Behörde zu stellen.</w:t>
      </w:r>
      <w:r w:rsidRPr="00773038">
        <w:rPr>
          <w:rFonts w:ascii="Univers" w:hAnsi="Univers"/>
          <w:i/>
          <w:iCs/>
          <w:color w:val="C00000"/>
        </w:rPr>
        <w:t xml:space="preserve"> Die Landesregierungen werden ermächtigt, durch Rechtsverordnung zu bestimmen, dass der Antrag nach Absatz 5 Satz 3 und 4 nach amtlich vorgeschriebenem Verfahren durch Datenfernübertragung zu übermitteln ist und das nähere Verfahren zu bestimmen. Die zuständige Behörde kann zur Vermeidung unbilliger Härten auf eine Übermittlung durch Datenfernübertragung verzichten.</w:t>
      </w:r>
    </w:p>
    <w:p w:rsidR="00773038" w:rsidRDefault="00773038" w:rsidP="00773038">
      <w:pPr>
        <w:pStyle w:val="Listenabsatz"/>
        <w:spacing w:before="100" w:beforeAutospacing="1" w:after="100" w:afterAutospacing="1" w:line="240" w:lineRule="auto"/>
        <w:ind w:left="360"/>
        <w:jc w:val="both"/>
        <w:outlineLvl w:val="0"/>
        <w:rPr>
          <w:rFonts w:ascii="Univers" w:hAnsi="Univers"/>
          <w:i/>
          <w:iCs/>
          <w:color w:val="C00000"/>
        </w:rPr>
      </w:pPr>
    </w:p>
    <w:p w:rsidR="00830A85" w:rsidRPr="00773038" w:rsidRDefault="00773038" w:rsidP="00773038">
      <w:pPr>
        <w:pStyle w:val="Listenabsatz"/>
        <w:spacing w:before="100" w:beforeAutospacing="1" w:after="100" w:afterAutospacing="1" w:line="240" w:lineRule="auto"/>
        <w:ind w:left="360"/>
        <w:jc w:val="both"/>
        <w:outlineLvl w:val="0"/>
        <w:rPr>
          <w:rFonts w:ascii="Univers" w:eastAsia="Times New Roman" w:hAnsi="Univers" w:cstheme="minorHAnsi"/>
          <w:bCs/>
          <w:kern w:val="36"/>
          <w:lang w:eastAsia="de-DE"/>
        </w:rPr>
      </w:pPr>
      <w:r w:rsidRPr="0015281B">
        <w:rPr>
          <w:rFonts w:ascii="Univers" w:eastAsia="Times New Roman" w:hAnsi="Univers" w:cs="Arial"/>
          <w:lang w:eastAsia="de-DE"/>
        </w:rPr>
        <w:t>Dem Antrag ist von Arbeitnehmern eine Bescheinigung des Arbeitgebers und von den in Heimarbeit Beschäftigten eine Bescheinigung des Auftraggebers über die Höhe des in dem nach Absatz 3 für sie maßgeblichen Zeitraum verdienten Arbeitsentgelts und der gesetzlichen Abzüge, von Selbständigen eine Bescheinigung des Finanzamtes über die Höhe des letzten beim Finanzamt nachgewiesenen Arbeitseinkommens beizufügen. Ist ein solches Arbeitseinkommen noch nicht nachgewiesen oder ist ein Unterschiedsbetrag nach Absatz 3 zu errechnen, so kann die zuständige Behörde die Vorlage anderer od</w:t>
      </w:r>
      <w:r>
        <w:rPr>
          <w:rFonts w:ascii="Univers" w:eastAsia="Times New Roman" w:hAnsi="Univers" w:cs="Arial"/>
          <w:lang w:eastAsia="de-DE"/>
        </w:rPr>
        <w:t>er weiterer Nachweise verlangen.</w:t>
      </w:r>
    </w:p>
    <w:p w:rsidR="00830A85" w:rsidRDefault="00830A85" w:rsidP="00830A85">
      <w:pPr>
        <w:pStyle w:val="Listenabsatz"/>
        <w:numPr>
          <w:ilvl w:val="0"/>
          <w:numId w:val="4"/>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p>
    <w:p w:rsidR="00830A85" w:rsidRDefault="00830A85" w:rsidP="00830A85">
      <w:pPr>
        <w:spacing w:after="0" w:line="240" w:lineRule="auto"/>
        <w:jc w:val="both"/>
        <w:rPr>
          <w:rFonts w:ascii="Univers" w:eastAsia="Times New Roman" w:hAnsi="Univers" w:cs="Times New Roman"/>
          <w:lang w:eastAsia="de-DE"/>
        </w:rPr>
      </w:pPr>
      <w:r>
        <w:rPr>
          <w:rFonts w:ascii="Univers" w:eastAsia="Times New Roman" w:hAnsi="Univers" w:cs="Times New Roman"/>
          <w:lang w:eastAsia="de-DE"/>
        </w:rPr>
        <w:t>(12) Die zuständige Behörde hat auf Antrag dem Arbeitgeber einen Vorschuss in der voraussichtlichen Höhe des Erstattungsbetrages, den in Heimarbeit Beschäftigten und Selbständigen in der voraussichtlichen Höhe der Entschädigung zu gewähren.</w:t>
      </w:r>
    </w:p>
    <w:p w:rsidR="00830A85" w:rsidRDefault="00830A85" w:rsidP="00830A85"/>
    <w:p w:rsidR="00830A85" w:rsidRDefault="00830A85"/>
    <w:sectPr w:rsidR="00830A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A50"/>
    <w:multiLevelType w:val="hybridMultilevel"/>
    <w:tmpl w:val="96780ABE"/>
    <w:lvl w:ilvl="0" w:tplc="0407000F">
      <w:start w:val="1"/>
      <w:numFmt w:val="decimal"/>
      <w:lvlText w:val="%1."/>
      <w:lvlJc w:val="left"/>
      <w:pPr>
        <w:ind w:left="141" w:hanging="360"/>
      </w:pPr>
    </w:lvl>
    <w:lvl w:ilvl="1" w:tplc="04070019">
      <w:start w:val="1"/>
      <w:numFmt w:val="lowerLetter"/>
      <w:lvlText w:val="%2."/>
      <w:lvlJc w:val="left"/>
      <w:pPr>
        <w:ind w:left="861" w:hanging="360"/>
      </w:pPr>
    </w:lvl>
    <w:lvl w:ilvl="2" w:tplc="0407001B">
      <w:start w:val="1"/>
      <w:numFmt w:val="lowerRoman"/>
      <w:lvlText w:val="%3."/>
      <w:lvlJc w:val="right"/>
      <w:pPr>
        <w:ind w:left="1581" w:hanging="180"/>
      </w:pPr>
    </w:lvl>
    <w:lvl w:ilvl="3" w:tplc="0407000F">
      <w:start w:val="1"/>
      <w:numFmt w:val="decimal"/>
      <w:lvlText w:val="%4."/>
      <w:lvlJc w:val="left"/>
      <w:pPr>
        <w:ind w:left="2301" w:hanging="360"/>
      </w:pPr>
    </w:lvl>
    <w:lvl w:ilvl="4" w:tplc="04070019">
      <w:start w:val="1"/>
      <w:numFmt w:val="lowerLetter"/>
      <w:lvlText w:val="%5."/>
      <w:lvlJc w:val="left"/>
      <w:pPr>
        <w:ind w:left="3021" w:hanging="360"/>
      </w:pPr>
    </w:lvl>
    <w:lvl w:ilvl="5" w:tplc="0407001B">
      <w:start w:val="1"/>
      <w:numFmt w:val="lowerRoman"/>
      <w:lvlText w:val="%6."/>
      <w:lvlJc w:val="right"/>
      <w:pPr>
        <w:ind w:left="3741" w:hanging="180"/>
      </w:pPr>
    </w:lvl>
    <w:lvl w:ilvl="6" w:tplc="0407000F">
      <w:start w:val="1"/>
      <w:numFmt w:val="decimal"/>
      <w:lvlText w:val="%7."/>
      <w:lvlJc w:val="left"/>
      <w:pPr>
        <w:ind w:left="4461" w:hanging="360"/>
      </w:pPr>
    </w:lvl>
    <w:lvl w:ilvl="7" w:tplc="04070019">
      <w:start w:val="1"/>
      <w:numFmt w:val="lowerLetter"/>
      <w:lvlText w:val="%8."/>
      <w:lvlJc w:val="left"/>
      <w:pPr>
        <w:ind w:left="5181" w:hanging="360"/>
      </w:pPr>
    </w:lvl>
    <w:lvl w:ilvl="8" w:tplc="0407001B">
      <w:start w:val="1"/>
      <w:numFmt w:val="lowerRoman"/>
      <w:lvlText w:val="%9."/>
      <w:lvlJc w:val="right"/>
      <w:pPr>
        <w:ind w:left="5901" w:hanging="180"/>
      </w:pPr>
    </w:lvl>
  </w:abstractNum>
  <w:abstractNum w:abstractNumId="1" w15:restartNumberingAfterBreak="0">
    <w:nsid w:val="08EF6A89"/>
    <w:multiLevelType w:val="hybridMultilevel"/>
    <w:tmpl w:val="D584C608"/>
    <w:lvl w:ilvl="0" w:tplc="04070015">
      <w:start w:val="1"/>
      <w:numFmt w:val="decimal"/>
      <w:lvlText w:val="(%1)"/>
      <w:lvlJc w:val="left"/>
      <w:pPr>
        <w:ind w:left="-1657" w:hanging="360"/>
      </w:pPr>
    </w:lvl>
    <w:lvl w:ilvl="1" w:tplc="04070019">
      <w:start w:val="1"/>
      <w:numFmt w:val="lowerLetter"/>
      <w:lvlText w:val="%2."/>
      <w:lvlJc w:val="left"/>
      <w:pPr>
        <w:ind w:left="-937" w:hanging="360"/>
      </w:pPr>
    </w:lvl>
    <w:lvl w:ilvl="2" w:tplc="0407001B">
      <w:start w:val="1"/>
      <w:numFmt w:val="lowerRoman"/>
      <w:lvlText w:val="%3."/>
      <w:lvlJc w:val="right"/>
      <w:pPr>
        <w:ind w:left="-217" w:hanging="180"/>
      </w:pPr>
    </w:lvl>
    <w:lvl w:ilvl="3" w:tplc="0407000F">
      <w:start w:val="1"/>
      <w:numFmt w:val="decimal"/>
      <w:lvlText w:val="%4."/>
      <w:lvlJc w:val="left"/>
      <w:pPr>
        <w:ind w:left="360" w:hanging="360"/>
      </w:pPr>
    </w:lvl>
    <w:lvl w:ilvl="4" w:tplc="04070019">
      <w:start w:val="1"/>
      <w:numFmt w:val="lowerLetter"/>
      <w:lvlText w:val="%5."/>
      <w:lvlJc w:val="left"/>
      <w:pPr>
        <w:ind w:left="1223" w:hanging="360"/>
      </w:pPr>
    </w:lvl>
    <w:lvl w:ilvl="5" w:tplc="0407001B">
      <w:start w:val="1"/>
      <w:numFmt w:val="lowerRoman"/>
      <w:lvlText w:val="%6."/>
      <w:lvlJc w:val="right"/>
      <w:pPr>
        <w:ind w:left="1943" w:hanging="180"/>
      </w:pPr>
    </w:lvl>
    <w:lvl w:ilvl="6" w:tplc="0407000F">
      <w:start w:val="1"/>
      <w:numFmt w:val="decimal"/>
      <w:lvlText w:val="%7."/>
      <w:lvlJc w:val="left"/>
      <w:pPr>
        <w:ind w:left="2663" w:hanging="360"/>
      </w:pPr>
    </w:lvl>
    <w:lvl w:ilvl="7" w:tplc="04070019">
      <w:start w:val="1"/>
      <w:numFmt w:val="lowerLetter"/>
      <w:lvlText w:val="%8."/>
      <w:lvlJc w:val="left"/>
      <w:pPr>
        <w:ind w:left="3383" w:hanging="360"/>
      </w:pPr>
    </w:lvl>
    <w:lvl w:ilvl="8" w:tplc="0407001B">
      <w:start w:val="1"/>
      <w:numFmt w:val="lowerRoman"/>
      <w:lvlText w:val="%9."/>
      <w:lvlJc w:val="right"/>
      <w:pPr>
        <w:ind w:left="4103" w:hanging="180"/>
      </w:pPr>
    </w:lvl>
  </w:abstractNum>
  <w:abstractNum w:abstractNumId="2" w15:restartNumberingAfterBreak="0">
    <w:nsid w:val="3A4A68CE"/>
    <w:multiLevelType w:val="hybridMultilevel"/>
    <w:tmpl w:val="AE6614C6"/>
    <w:lvl w:ilvl="0" w:tplc="04070015">
      <w:start w:val="1"/>
      <w:numFmt w:val="decimal"/>
      <w:lvlText w:val="(%1)"/>
      <w:lvlJc w:val="left"/>
      <w:pPr>
        <w:ind w:left="360" w:hanging="360"/>
      </w:pPr>
    </w:lvl>
    <w:lvl w:ilvl="1" w:tplc="04070019">
      <w:start w:val="1"/>
      <w:numFmt w:val="lowerLetter"/>
      <w:lvlText w:val="%2."/>
      <w:lvlJc w:val="left"/>
      <w:pPr>
        <w:ind w:left="1222" w:hanging="360"/>
      </w:pPr>
    </w:lvl>
    <w:lvl w:ilvl="2" w:tplc="0407001B">
      <w:start w:val="1"/>
      <w:numFmt w:val="lowerRoman"/>
      <w:lvlText w:val="%3."/>
      <w:lvlJc w:val="right"/>
      <w:pPr>
        <w:ind w:left="1942" w:hanging="180"/>
      </w:pPr>
    </w:lvl>
    <w:lvl w:ilvl="3" w:tplc="0407000F">
      <w:start w:val="1"/>
      <w:numFmt w:val="decimal"/>
      <w:lvlText w:val="%4."/>
      <w:lvlJc w:val="left"/>
      <w:pPr>
        <w:ind w:left="2662" w:hanging="360"/>
      </w:pPr>
    </w:lvl>
    <w:lvl w:ilvl="4" w:tplc="04070019">
      <w:start w:val="1"/>
      <w:numFmt w:val="lowerLetter"/>
      <w:lvlText w:val="%5."/>
      <w:lvlJc w:val="left"/>
      <w:pPr>
        <w:ind w:left="3382" w:hanging="360"/>
      </w:pPr>
    </w:lvl>
    <w:lvl w:ilvl="5" w:tplc="0407001B">
      <w:start w:val="1"/>
      <w:numFmt w:val="lowerRoman"/>
      <w:lvlText w:val="%6."/>
      <w:lvlJc w:val="right"/>
      <w:pPr>
        <w:ind w:left="4102" w:hanging="180"/>
      </w:pPr>
    </w:lvl>
    <w:lvl w:ilvl="6" w:tplc="0407000F">
      <w:start w:val="1"/>
      <w:numFmt w:val="decimal"/>
      <w:lvlText w:val="%7."/>
      <w:lvlJc w:val="left"/>
      <w:pPr>
        <w:ind w:left="4822" w:hanging="360"/>
      </w:pPr>
    </w:lvl>
    <w:lvl w:ilvl="7" w:tplc="04070019">
      <w:start w:val="1"/>
      <w:numFmt w:val="lowerLetter"/>
      <w:lvlText w:val="%8."/>
      <w:lvlJc w:val="left"/>
      <w:pPr>
        <w:ind w:left="5542" w:hanging="360"/>
      </w:pPr>
    </w:lvl>
    <w:lvl w:ilvl="8" w:tplc="0407001B">
      <w:start w:val="1"/>
      <w:numFmt w:val="lowerRoman"/>
      <w:lvlText w:val="%9."/>
      <w:lvlJc w:val="right"/>
      <w:pPr>
        <w:ind w:left="6262" w:hanging="180"/>
      </w:pPr>
    </w:lvl>
  </w:abstractNum>
  <w:abstractNum w:abstractNumId="3" w15:restartNumberingAfterBreak="0">
    <w:nsid w:val="3AA50D2E"/>
    <w:multiLevelType w:val="hybridMultilevel"/>
    <w:tmpl w:val="25F6B230"/>
    <w:lvl w:ilvl="0" w:tplc="4E662918">
      <w:start w:val="8"/>
      <w:numFmt w:val="decimal"/>
      <w:lvlText w:val="(%1)"/>
      <w:lvlJc w:val="left"/>
      <w:pPr>
        <w:ind w:left="36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2F6FB8"/>
    <w:multiLevelType w:val="hybridMultilevel"/>
    <w:tmpl w:val="5EA0BC6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643"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85"/>
    <w:rsid w:val="00773038"/>
    <w:rsid w:val="00830A85"/>
    <w:rsid w:val="00923BCE"/>
    <w:rsid w:val="00C102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3C219-A537-4B7F-A645-A84B63F6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0A85"/>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0A85"/>
    <w:pPr>
      <w:ind w:left="720"/>
      <w:contextualSpacing/>
    </w:pPr>
  </w:style>
  <w:style w:type="paragraph" w:styleId="Sprechblasentext">
    <w:name w:val="Balloon Text"/>
    <w:basedOn w:val="Standard"/>
    <w:link w:val="SprechblasentextZchn"/>
    <w:uiPriority w:val="99"/>
    <w:semiHidden/>
    <w:unhideWhenUsed/>
    <w:rsid w:val="00923B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3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10103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METALL NRW</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dc:creator>
  <cp:keywords/>
  <dc:description/>
  <cp:lastModifiedBy>niekämper</cp:lastModifiedBy>
  <cp:revision>2</cp:revision>
  <cp:lastPrinted>2021-03-29T12:32:00Z</cp:lastPrinted>
  <dcterms:created xsi:type="dcterms:W3CDTF">2021-03-29T12:32:00Z</dcterms:created>
  <dcterms:modified xsi:type="dcterms:W3CDTF">2021-03-29T12:32:00Z</dcterms:modified>
</cp:coreProperties>
</file>